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BEF" w:rsidRDefault="00D23BEF" w:rsidP="00D23BE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D23BEF" w:rsidRDefault="00D23BEF" w:rsidP="00D23BEF">
      <w:pPr>
        <w:spacing w:line="480" w:lineRule="auto"/>
        <w:jc w:val="center"/>
        <w:rPr>
          <w:rFonts w:ascii="Times New Roman" w:hAnsi="Times New Roman" w:cs="Times New Roman"/>
          <w:b/>
          <w:sz w:val="24"/>
          <w:szCs w:val="24"/>
        </w:rPr>
      </w:pPr>
      <w:r w:rsidRPr="00932062">
        <w:rPr>
          <w:rFonts w:ascii="Times New Roman" w:hAnsi="Times New Roman" w:cs="Times New Roman"/>
          <w:b/>
          <w:sz w:val="24"/>
          <w:szCs w:val="24"/>
        </w:rPr>
        <w:t>METODE PENELITIAN</w:t>
      </w:r>
    </w:p>
    <w:p w:rsidR="00D23BEF" w:rsidRPr="007112E1" w:rsidRDefault="00D23BEF" w:rsidP="00D23BEF">
      <w:pPr>
        <w:spacing w:line="480" w:lineRule="auto"/>
        <w:jc w:val="center"/>
        <w:rPr>
          <w:rFonts w:ascii="Times New Roman" w:hAnsi="Times New Roman" w:cs="Times New Roman"/>
          <w:b/>
          <w:sz w:val="24"/>
          <w:szCs w:val="24"/>
        </w:rPr>
      </w:pPr>
    </w:p>
    <w:p w:rsidR="00D23BEF" w:rsidRDefault="00D23BEF" w:rsidP="00D23BEF">
      <w:pPr>
        <w:pStyle w:val="ListParagraph"/>
        <w:numPr>
          <w:ilvl w:val="0"/>
          <w:numId w:val="3"/>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Pr="007112E1">
        <w:rPr>
          <w:rFonts w:ascii="Times New Roman" w:hAnsi="Times New Roman" w:cs="Times New Roman"/>
          <w:b/>
          <w:sz w:val="24"/>
          <w:szCs w:val="24"/>
        </w:rPr>
        <w:t>Jenis Penelitian :</w:t>
      </w:r>
    </w:p>
    <w:p w:rsidR="00D23BEF" w:rsidRDefault="00D23BEF" w:rsidP="00D23BEF">
      <w:pPr>
        <w:pStyle w:val="ListParagraph"/>
        <w:spacing w:line="480" w:lineRule="auto"/>
        <w:ind w:left="426" w:firstLine="567"/>
        <w:jc w:val="both"/>
        <w:rPr>
          <w:rFonts w:ascii="Times New Roman" w:hAnsi="Times New Roman" w:cs="Times New Roman"/>
          <w:sz w:val="24"/>
          <w:szCs w:val="24"/>
        </w:rPr>
      </w:pPr>
      <w:r w:rsidRPr="00932062">
        <w:rPr>
          <w:rFonts w:ascii="Times New Roman" w:hAnsi="Times New Roman" w:cs="Times New Roman"/>
          <w:sz w:val="24"/>
          <w:szCs w:val="24"/>
        </w:rPr>
        <w:t xml:space="preserve">Dalam ilmu hukum terdapat dua macam penelitian, yaitu penelitian hukum empiris dan penelitian hukum normatif. Pada penyusunan penelitian ini Jenis penelitian yang digunakan dalam penulisan ini adalah </w:t>
      </w:r>
      <w:r w:rsidRPr="00932062">
        <w:rPr>
          <w:rFonts w:ascii="Times New Roman" w:hAnsi="Times New Roman" w:cs="Times New Roman"/>
          <w:i/>
          <w:sz w:val="24"/>
          <w:szCs w:val="24"/>
        </w:rPr>
        <w:t>yuridis normatif</w:t>
      </w:r>
      <w:r w:rsidRPr="00932062">
        <w:rPr>
          <w:rFonts w:ascii="Times New Roman" w:hAnsi="Times New Roman" w:cs="Times New Roman"/>
          <w:sz w:val="24"/>
          <w:szCs w:val="24"/>
        </w:rPr>
        <w:t xml:space="preserve">. Penelitian ini dilakukan  mengacu dan berlandaskan pada norma-norma hukum yang terdapat pada aturan perundang-undangan yang ada. </w:t>
      </w:r>
    </w:p>
    <w:p w:rsidR="00D23BEF" w:rsidRDefault="00D23BEF" w:rsidP="00D23BEF">
      <w:pPr>
        <w:pStyle w:val="ListParagraph"/>
        <w:spacing w:line="480" w:lineRule="auto"/>
        <w:ind w:left="426" w:firstLine="567"/>
        <w:jc w:val="both"/>
        <w:rPr>
          <w:rFonts w:ascii="Times New Roman" w:hAnsi="Times New Roman" w:cs="Times New Roman"/>
          <w:b/>
          <w:sz w:val="24"/>
          <w:szCs w:val="24"/>
        </w:rPr>
      </w:pPr>
    </w:p>
    <w:p w:rsidR="00D23BEF" w:rsidRPr="007112E1" w:rsidRDefault="00D23BEF" w:rsidP="00D23BEF">
      <w:pPr>
        <w:pStyle w:val="ListParagraph"/>
        <w:numPr>
          <w:ilvl w:val="0"/>
          <w:numId w:val="3"/>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Pr="007112E1">
        <w:rPr>
          <w:rFonts w:ascii="Times New Roman" w:hAnsi="Times New Roman" w:cs="Times New Roman"/>
          <w:b/>
          <w:sz w:val="24"/>
          <w:szCs w:val="24"/>
        </w:rPr>
        <w:t xml:space="preserve">Pendekatan Penelitian : </w:t>
      </w:r>
    </w:p>
    <w:p w:rsidR="00D23BEF" w:rsidRDefault="00D23BEF" w:rsidP="00D23BEF">
      <w:pPr>
        <w:pStyle w:val="ListParagraph"/>
        <w:spacing w:line="480" w:lineRule="auto"/>
        <w:ind w:left="426" w:firstLine="567"/>
        <w:jc w:val="both"/>
        <w:rPr>
          <w:rFonts w:ascii="Times New Roman" w:hAnsi="Times New Roman" w:cs="Times New Roman"/>
          <w:sz w:val="24"/>
          <w:szCs w:val="24"/>
        </w:rPr>
      </w:pPr>
      <w:r w:rsidRPr="007112E1">
        <w:rPr>
          <w:rFonts w:ascii="Times New Roman" w:hAnsi="Times New Roman" w:cs="Times New Roman"/>
          <w:sz w:val="24"/>
          <w:szCs w:val="24"/>
        </w:rPr>
        <w:t xml:space="preserve">Dalam penelitian hukum terdapat beberapa jenis pendekatan. Dalam penulisan penelitian ini, pendekatan yang digunakan adalah pendekatan perundang-undangan </w:t>
      </w:r>
      <w:r w:rsidRPr="007112E1">
        <w:rPr>
          <w:rFonts w:ascii="Times New Roman" w:hAnsi="Times New Roman" w:cs="Times New Roman"/>
          <w:i/>
          <w:sz w:val="24"/>
          <w:szCs w:val="24"/>
        </w:rPr>
        <w:t>(Statute Approach)</w:t>
      </w:r>
      <w:r w:rsidRPr="007112E1">
        <w:rPr>
          <w:rFonts w:ascii="Times New Roman" w:hAnsi="Times New Roman" w:cs="Times New Roman"/>
          <w:sz w:val="24"/>
          <w:szCs w:val="24"/>
        </w:rPr>
        <w:t xml:space="preserve"> </w:t>
      </w:r>
      <w:r>
        <w:rPr>
          <w:rFonts w:ascii="Times New Roman" w:hAnsi="Times New Roman" w:cs="Times New Roman"/>
          <w:sz w:val="24"/>
          <w:szCs w:val="24"/>
        </w:rPr>
        <w:t xml:space="preserve">, Pendekatan penelitian konsep </w:t>
      </w:r>
      <w:r w:rsidRPr="000F43C6">
        <w:rPr>
          <w:rFonts w:ascii="Times New Roman" w:hAnsi="Times New Roman" w:cs="Times New Roman"/>
          <w:i/>
          <w:sz w:val="24"/>
          <w:szCs w:val="24"/>
        </w:rPr>
        <w:t>(conceptual approach),</w:t>
      </w:r>
      <w:r>
        <w:rPr>
          <w:rFonts w:ascii="Times New Roman" w:hAnsi="Times New Roman" w:cs="Times New Roman"/>
          <w:sz w:val="24"/>
          <w:szCs w:val="24"/>
        </w:rPr>
        <w:t xml:space="preserve"> dan pendekatan sejarah </w:t>
      </w:r>
      <w:r w:rsidRPr="000F43C6">
        <w:rPr>
          <w:rFonts w:ascii="Times New Roman" w:hAnsi="Times New Roman" w:cs="Times New Roman"/>
          <w:i/>
          <w:sz w:val="24"/>
          <w:szCs w:val="24"/>
        </w:rPr>
        <w:t>(historical approach)</w:t>
      </w:r>
      <w:r>
        <w:rPr>
          <w:rFonts w:ascii="Times New Roman" w:hAnsi="Times New Roman" w:cs="Times New Roman"/>
          <w:i/>
          <w:sz w:val="24"/>
          <w:szCs w:val="24"/>
        </w:rPr>
        <w:t>.</w:t>
      </w:r>
    </w:p>
    <w:p w:rsidR="00D23BEF" w:rsidRPr="00B86299" w:rsidRDefault="00D23BEF" w:rsidP="00D23BEF">
      <w:pPr>
        <w:pStyle w:val="ListParagraph"/>
        <w:spacing w:line="480" w:lineRule="auto"/>
        <w:ind w:left="426" w:firstLine="567"/>
        <w:jc w:val="both"/>
        <w:rPr>
          <w:rFonts w:ascii="Times New Roman" w:hAnsi="Times New Roman" w:cs="Times New Roman"/>
          <w:sz w:val="24"/>
          <w:szCs w:val="24"/>
        </w:rPr>
      </w:pPr>
    </w:p>
    <w:p w:rsidR="00D23BEF" w:rsidRPr="00635A23" w:rsidRDefault="00D23BEF" w:rsidP="00D23BEF">
      <w:pPr>
        <w:pStyle w:val="ListParagraph"/>
        <w:numPr>
          <w:ilvl w:val="0"/>
          <w:numId w:val="3"/>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Pr="007112E1">
        <w:rPr>
          <w:rFonts w:ascii="Times New Roman" w:hAnsi="Times New Roman" w:cs="Times New Roman"/>
          <w:b/>
          <w:sz w:val="24"/>
          <w:szCs w:val="24"/>
        </w:rPr>
        <w:t>Jenis dan Sumber Bahan Hukum</w:t>
      </w:r>
    </w:p>
    <w:p w:rsidR="00D23BEF" w:rsidRPr="00635A23" w:rsidRDefault="00D23BEF" w:rsidP="00D23BEF">
      <w:pPr>
        <w:pStyle w:val="ListParagraph"/>
        <w:spacing w:line="480" w:lineRule="auto"/>
        <w:ind w:left="426" w:firstLine="567"/>
        <w:jc w:val="both"/>
        <w:rPr>
          <w:rFonts w:ascii="Times New Roman" w:hAnsi="Times New Roman" w:cs="Times New Roman"/>
          <w:b/>
          <w:sz w:val="24"/>
          <w:szCs w:val="24"/>
        </w:rPr>
      </w:pPr>
      <w:r w:rsidRPr="007112E1">
        <w:rPr>
          <w:rFonts w:ascii="Times New Roman" w:hAnsi="Times New Roman" w:cs="Times New Roman"/>
          <w:sz w:val="24"/>
          <w:szCs w:val="24"/>
        </w:rPr>
        <w:t>Jenis bahan hukum dalam penelitian normatif terdiri dari bahan hukum primer, sekunder, dan tersier.</w:t>
      </w:r>
    </w:p>
    <w:p w:rsidR="00D23BEF" w:rsidRPr="007112E1" w:rsidRDefault="00D23BEF" w:rsidP="00D23BEF">
      <w:pPr>
        <w:pStyle w:val="ListParagraph"/>
        <w:numPr>
          <w:ilvl w:val="0"/>
          <w:numId w:val="2"/>
        </w:numPr>
        <w:spacing w:line="480" w:lineRule="auto"/>
        <w:ind w:left="1276" w:hanging="283"/>
        <w:jc w:val="both"/>
        <w:rPr>
          <w:rFonts w:ascii="Times New Roman" w:hAnsi="Times New Roman" w:cs="Times New Roman"/>
          <w:sz w:val="24"/>
          <w:szCs w:val="24"/>
        </w:rPr>
      </w:pPr>
      <w:r w:rsidRPr="007112E1">
        <w:rPr>
          <w:rFonts w:ascii="Times New Roman" w:hAnsi="Times New Roman" w:cs="Times New Roman"/>
          <w:sz w:val="24"/>
          <w:szCs w:val="24"/>
        </w:rPr>
        <w:t xml:space="preserve">Bahan hukum primer </w:t>
      </w:r>
    </w:p>
    <w:p w:rsidR="00D23BEF" w:rsidRDefault="00D23BEF" w:rsidP="00D23BEF">
      <w:pPr>
        <w:spacing w:line="480" w:lineRule="auto"/>
        <w:ind w:left="1276" w:hanging="283"/>
        <w:jc w:val="both"/>
        <w:rPr>
          <w:rFonts w:ascii="Times New Roman" w:hAnsi="Times New Roman" w:cs="Times New Roman"/>
          <w:sz w:val="24"/>
          <w:szCs w:val="24"/>
        </w:rPr>
      </w:pPr>
      <w:r w:rsidRPr="007112E1">
        <w:rPr>
          <w:rFonts w:ascii="Times New Roman" w:hAnsi="Times New Roman" w:cs="Times New Roman"/>
          <w:sz w:val="24"/>
          <w:szCs w:val="24"/>
        </w:rPr>
        <w:t xml:space="preserve">     Merupakan bahan hukum yang mengikat atau yang membuat orang lain taat   pada aturan hukum seperti peraturan perundang-undangan, yang terdiri dari:</w:t>
      </w:r>
    </w:p>
    <w:p w:rsidR="00D23BEF" w:rsidRDefault="00D23BEF" w:rsidP="00D23BEF">
      <w:pPr>
        <w:spacing w:line="480" w:lineRule="auto"/>
        <w:ind w:left="1276" w:hanging="283"/>
        <w:jc w:val="both"/>
        <w:rPr>
          <w:rFonts w:ascii="Times New Roman" w:hAnsi="Times New Roman" w:cs="Times New Roman"/>
          <w:sz w:val="24"/>
          <w:szCs w:val="24"/>
        </w:rPr>
      </w:pPr>
    </w:p>
    <w:p w:rsidR="00D23BEF" w:rsidRDefault="00D23BEF" w:rsidP="00D23BEF">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B86299">
        <w:rPr>
          <w:rFonts w:ascii="Times New Roman" w:hAnsi="Times New Roman" w:cs="Times New Roman"/>
          <w:sz w:val="24"/>
          <w:szCs w:val="24"/>
        </w:rPr>
        <w:t>Ki</w:t>
      </w:r>
      <w:r>
        <w:rPr>
          <w:rFonts w:ascii="Times New Roman" w:hAnsi="Times New Roman" w:cs="Times New Roman"/>
          <w:sz w:val="24"/>
          <w:szCs w:val="24"/>
        </w:rPr>
        <w:t>tab Undang-Undang Hukum Perdata</w:t>
      </w:r>
      <w:r w:rsidRPr="00B86299">
        <w:rPr>
          <w:rFonts w:ascii="Times New Roman" w:hAnsi="Times New Roman" w:cs="Times New Roman"/>
          <w:sz w:val="24"/>
          <w:szCs w:val="24"/>
        </w:rPr>
        <w:t xml:space="preserve"> </w:t>
      </w:r>
      <w:r>
        <w:rPr>
          <w:rFonts w:ascii="Times New Roman" w:hAnsi="Times New Roman" w:cs="Times New Roman"/>
          <w:sz w:val="24"/>
          <w:szCs w:val="24"/>
        </w:rPr>
        <w:t>Pasal 1313-1339</w:t>
      </w:r>
    </w:p>
    <w:p w:rsidR="00D23BEF" w:rsidRPr="00B86299" w:rsidRDefault="00D23BEF" w:rsidP="00D23BEF">
      <w:p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B86299">
        <w:rPr>
          <w:rFonts w:ascii="Times New Roman" w:hAnsi="Times New Roman" w:cs="Times New Roman"/>
          <w:sz w:val="24"/>
          <w:szCs w:val="24"/>
        </w:rPr>
        <w:t>Undang-Undang No. 10 tahun 1998 tentang perubahan atas Undang-Undang No. 7 tahun 1992 tentang Perbankan</w:t>
      </w:r>
      <w:r>
        <w:rPr>
          <w:rFonts w:ascii="Times New Roman" w:hAnsi="Times New Roman" w:cs="Times New Roman"/>
          <w:sz w:val="24"/>
          <w:szCs w:val="24"/>
        </w:rPr>
        <w:t>.</w:t>
      </w:r>
    </w:p>
    <w:p w:rsidR="00D23BEF" w:rsidRPr="00B86299" w:rsidRDefault="00D23BEF" w:rsidP="00D23BEF">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3. </w:t>
      </w:r>
      <w:r w:rsidRPr="00B86299">
        <w:rPr>
          <w:rFonts w:ascii="Times New Roman" w:hAnsi="Times New Roman" w:cs="Times New Roman"/>
          <w:sz w:val="24"/>
          <w:szCs w:val="24"/>
        </w:rPr>
        <w:t>Undang-Undang No. 21 tahun 2008 tentang Perbankan Syariah</w:t>
      </w:r>
      <w:r>
        <w:rPr>
          <w:rFonts w:ascii="Times New Roman" w:hAnsi="Times New Roman" w:cs="Times New Roman"/>
          <w:sz w:val="24"/>
          <w:szCs w:val="24"/>
        </w:rPr>
        <w:t>.</w:t>
      </w:r>
    </w:p>
    <w:p w:rsidR="00D23BEF" w:rsidRDefault="00D23BEF" w:rsidP="00D23BEF">
      <w:p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4. </w:t>
      </w:r>
      <w:r w:rsidRPr="00B86299">
        <w:rPr>
          <w:rFonts w:ascii="Times New Roman" w:hAnsi="Times New Roman" w:cs="Times New Roman"/>
          <w:sz w:val="24"/>
          <w:szCs w:val="24"/>
        </w:rPr>
        <w:t>Undang-Undang No. 3 Tahun 2006 Tentang Perubahan atas Undang-Undang No. 7 Tahun 1998 Tentang Peradilan Agama</w:t>
      </w:r>
      <w:r>
        <w:rPr>
          <w:rFonts w:ascii="Times New Roman" w:hAnsi="Times New Roman" w:cs="Times New Roman"/>
          <w:sz w:val="24"/>
          <w:szCs w:val="24"/>
        </w:rPr>
        <w:t>.</w:t>
      </w:r>
    </w:p>
    <w:p w:rsidR="00D23BEF" w:rsidRDefault="00D23BEF" w:rsidP="00D23BEF">
      <w:p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Pr="00B86299">
        <w:rPr>
          <w:rFonts w:ascii="Times New Roman" w:hAnsi="Times New Roman" w:cs="Times New Roman"/>
          <w:sz w:val="24"/>
          <w:szCs w:val="24"/>
        </w:rPr>
        <w:t>Dewan Syariah Nasional Ma</w:t>
      </w:r>
      <w:r>
        <w:rPr>
          <w:rFonts w:ascii="Times New Roman" w:hAnsi="Times New Roman" w:cs="Times New Roman"/>
          <w:sz w:val="24"/>
          <w:szCs w:val="24"/>
        </w:rPr>
        <w:t xml:space="preserve">jelis Ulama Indonesia NO.43/DSN </w:t>
      </w:r>
      <w:r w:rsidRPr="00B86299">
        <w:rPr>
          <w:rFonts w:ascii="Times New Roman" w:hAnsi="Times New Roman" w:cs="Times New Roman"/>
          <w:sz w:val="24"/>
          <w:szCs w:val="24"/>
        </w:rPr>
        <w:t>MUI/VIII/20</w:t>
      </w:r>
      <w:r>
        <w:rPr>
          <w:rFonts w:ascii="Times New Roman" w:hAnsi="Times New Roman" w:cs="Times New Roman"/>
          <w:sz w:val="24"/>
          <w:szCs w:val="24"/>
        </w:rPr>
        <w:t>04 Tentang Ganti Rugi (Ta’widh)</w:t>
      </w:r>
    </w:p>
    <w:p w:rsidR="00D23BEF" w:rsidRDefault="00D23BEF" w:rsidP="00D23BEF">
      <w:p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B86299">
        <w:rPr>
          <w:rFonts w:ascii="Times New Roman" w:hAnsi="Times New Roman" w:cs="Times New Roman"/>
          <w:sz w:val="24"/>
          <w:szCs w:val="24"/>
        </w:rPr>
        <w:t>Dewan Syari’ah Nasional Nomor 07/DSN-MUI/IV/2000 Tentang</w:t>
      </w:r>
      <w:r>
        <w:rPr>
          <w:rFonts w:ascii="Times New Roman" w:hAnsi="Times New Roman" w:cs="Times New Roman"/>
          <w:sz w:val="24"/>
          <w:szCs w:val="24"/>
        </w:rPr>
        <w:t xml:space="preserve"> Pembiayaan Mudharabah (Qiradh)</w:t>
      </w:r>
    </w:p>
    <w:p w:rsidR="00D23BEF" w:rsidRDefault="00D23BEF" w:rsidP="00D23BEF">
      <w:p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7. </w:t>
      </w:r>
      <w:r w:rsidRPr="00B86299">
        <w:rPr>
          <w:rFonts w:ascii="Times New Roman" w:hAnsi="Times New Roman" w:cs="Times New Roman"/>
          <w:sz w:val="24"/>
          <w:szCs w:val="24"/>
        </w:rPr>
        <w:t>Peraturan Bank Indonesia No: 10/16/PBI/2008 Tentang Perubahan atas Peraturan Bank Indonesia No: 9/19/PBI/2007 Tentang Pelaksanaan Prinsip Syariah Dalam Kegiatan Penghimpunan Dana dan Penyaluran Dana Se</w:t>
      </w:r>
      <w:r>
        <w:rPr>
          <w:rFonts w:ascii="Times New Roman" w:hAnsi="Times New Roman" w:cs="Times New Roman"/>
          <w:sz w:val="24"/>
          <w:szCs w:val="24"/>
        </w:rPr>
        <w:t>rta Pelayanan Jasa Bank Syariah.</w:t>
      </w:r>
    </w:p>
    <w:p w:rsidR="00D23BEF" w:rsidRPr="00B86299" w:rsidRDefault="00D23BEF" w:rsidP="00D23BEF">
      <w:p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8. </w:t>
      </w:r>
      <w:r w:rsidRPr="00B86299">
        <w:rPr>
          <w:rFonts w:ascii="Times New Roman" w:hAnsi="Times New Roman" w:cs="Times New Roman"/>
          <w:sz w:val="24"/>
          <w:szCs w:val="24"/>
        </w:rPr>
        <w:t>Peraturan Bank Indonesia No: 7/46/PBI/2005 Tentang Akad Penghimpunan dan Penyaluran Dana Bagi Bank Yang Melaksanakan Kegiatan Us</w:t>
      </w:r>
      <w:r>
        <w:rPr>
          <w:rFonts w:ascii="Times New Roman" w:hAnsi="Times New Roman" w:cs="Times New Roman"/>
          <w:sz w:val="24"/>
          <w:szCs w:val="24"/>
        </w:rPr>
        <w:t>aha Berdasarkan Prinsip Syariah.</w:t>
      </w:r>
    </w:p>
    <w:p w:rsidR="00D23BEF" w:rsidRPr="007112E1" w:rsidRDefault="00D23BEF" w:rsidP="00D23BEF">
      <w:pPr>
        <w:pStyle w:val="ListParagraph"/>
        <w:numPr>
          <w:ilvl w:val="0"/>
          <w:numId w:val="2"/>
        </w:numPr>
        <w:spacing w:line="480" w:lineRule="auto"/>
        <w:ind w:left="1276" w:hanging="283"/>
        <w:jc w:val="both"/>
        <w:rPr>
          <w:rFonts w:ascii="Times New Roman" w:hAnsi="Times New Roman" w:cs="Times New Roman"/>
          <w:sz w:val="24"/>
          <w:szCs w:val="24"/>
        </w:rPr>
      </w:pPr>
      <w:r w:rsidRPr="007112E1">
        <w:rPr>
          <w:rFonts w:ascii="Times New Roman" w:hAnsi="Times New Roman" w:cs="Times New Roman"/>
          <w:sz w:val="24"/>
          <w:szCs w:val="24"/>
        </w:rPr>
        <w:t xml:space="preserve">Bahan hukum sekunder : </w:t>
      </w:r>
    </w:p>
    <w:p w:rsidR="00D23BEF" w:rsidRDefault="00D23BEF" w:rsidP="00D23BEF">
      <w:p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    </w:t>
      </w:r>
      <w:r w:rsidRPr="007112E1">
        <w:rPr>
          <w:rFonts w:ascii="Times New Roman" w:hAnsi="Times New Roman" w:cs="Times New Roman"/>
          <w:sz w:val="24"/>
          <w:szCs w:val="24"/>
        </w:rPr>
        <w:t xml:space="preserve">Sebagai bahan hukum yang tidak mengikat namun memperjelas mengenai bahan hukum primer yang merupakan hasil olahan pendapat atau pikiran para pakar yang akan memberikan petunjuk </w:t>
      </w:r>
      <w:r>
        <w:rPr>
          <w:rFonts w:ascii="Times New Roman" w:hAnsi="Times New Roman" w:cs="Times New Roman"/>
          <w:sz w:val="24"/>
          <w:szCs w:val="24"/>
        </w:rPr>
        <w:t xml:space="preserve">1   </w:t>
      </w:r>
      <w:r w:rsidRPr="007112E1">
        <w:rPr>
          <w:rFonts w:ascii="Times New Roman" w:hAnsi="Times New Roman" w:cs="Times New Roman"/>
          <w:sz w:val="24"/>
          <w:szCs w:val="24"/>
        </w:rPr>
        <w:t>mendu</w:t>
      </w:r>
      <w:r>
        <w:rPr>
          <w:rFonts w:ascii="Times New Roman" w:hAnsi="Times New Roman" w:cs="Times New Roman"/>
          <w:sz w:val="24"/>
          <w:szCs w:val="24"/>
        </w:rPr>
        <w:t>kung bahan hukum primer, yaitu:</w:t>
      </w:r>
    </w:p>
    <w:p w:rsidR="00D23BEF" w:rsidRPr="007112E1" w:rsidRDefault="00D23BEF" w:rsidP="00D23BEF">
      <w:pPr>
        <w:pStyle w:val="ListParagraph"/>
        <w:numPr>
          <w:ilvl w:val="2"/>
          <w:numId w:val="1"/>
        </w:numPr>
        <w:spacing w:line="480" w:lineRule="auto"/>
        <w:ind w:left="0" w:firstLine="1276"/>
        <w:jc w:val="both"/>
        <w:rPr>
          <w:rFonts w:ascii="Times New Roman" w:hAnsi="Times New Roman" w:cs="Times New Roman"/>
          <w:sz w:val="24"/>
          <w:szCs w:val="24"/>
        </w:rPr>
      </w:pPr>
      <w:r w:rsidRPr="007112E1">
        <w:rPr>
          <w:rFonts w:ascii="Times New Roman" w:hAnsi="Times New Roman" w:cs="Times New Roman"/>
          <w:sz w:val="24"/>
          <w:szCs w:val="24"/>
        </w:rPr>
        <w:t xml:space="preserve">Perjanjian Pembiayaan </w:t>
      </w:r>
      <w:r w:rsidRPr="007112E1">
        <w:rPr>
          <w:rFonts w:ascii="Times New Roman" w:hAnsi="Times New Roman" w:cs="Times New Roman"/>
          <w:i/>
          <w:sz w:val="24"/>
          <w:szCs w:val="24"/>
        </w:rPr>
        <w:t>mudharabah</w:t>
      </w:r>
    </w:p>
    <w:p w:rsidR="00D23BEF" w:rsidRPr="007112E1" w:rsidRDefault="00D23BEF" w:rsidP="00D23BEF">
      <w:pPr>
        <w:pStyle w:val="ListParagraph"/>
        <w:numPr>
          <w:ilvl w:val="2"/>
          <w:numId w:val="1"/>
        </w:numPr>
        <w:spacing w:line="480" w:lineRule="auto"/>
        <w:ind w:left="0" w:firstLine="1276"/>
        <w:jc w:val="both"/>
        <w:rPr>
          <w:rFonts w:ascii="Times New Roman" w:hAnsi="Times New Roman" w:cs="Times New Roman"/>
          <w:sz w:val="24"/>
          <w:szCs w:val="24"/>
        </w:rPr>
      </w:pPr>
      <w:r w:rsidRPr="007112E1">
        <w:rPr>
          <w:rFonts w:ascii="Times New Roman" w:hAnsi="Times New Roman" w:cs="Times New Roman"/>
          <w:sz w:val="24"/>
          <w:szCs w:val="24"/>
        </w:rPr>
        <w:lastRenderedPageBreak/>
        <w:t>Penjelasan Peraturan Perundang-Undangan yang Terkait</w:t>
      </w:r>
    </w:p>
    <w:p w:rsidR="00D23BEF" w:rsidRPr="007112E1" w:rsidRDefault="00D23BEF" w:rsidP="00D23BEF">
      <w:pPr>
        <w:pStyle w:val="ListParagraph"/>
        <w:numPr>
          <w:ilvl w:val="2"/>
          <w:numId w:val="1"/>
        </w:numPr>
        <w:spacing w:line="480" w:lineRule="auto"/>
        <w:ind w:left="0" w:firstLine="1276"/>
        <w:jc w:val="both"/>
        <w:rPr>
          <w:rFonts w:ascii="Times New Roman" w:hAnsi="Times New Roman" w:cs="Times New Roman"/>
          <w:sz w:val="24"/>
          <w:szCs w:val="24"/>
        </w:rPr>
      </w:pPr>
      <w:r w:rsidRPr="007112E1">
        <w:rPr>
          <w:rFonts w:ascii="Times New Roman" w:hAnsi="Times New Roman" w:cs="Times New Roman"/>
          <w:sz w:val="24"/>
          <w:szCs w:val="24"/>
        </w:rPr>
        <w:t>Buku-buku litelatur</w:t>
      </w:r>
    </w:p>
    <w:p w:rsidR="00D23BEF" w:rsidRPr="007112E1" w:rsidRDefault="00D23BEF" w:rsidP="00D23BEF">
      <w:pPr>
        <w:pStyle w:val="ListParagraph"/>
        <w:numPr>
          <w:ilvl w:val="2"/>
          <w:numId w:val="1"/>
        </w:numPr>
        <w:spacing w:line="480" w:lineRule="auto"/>
        <w:ind w:left="0" w:firstLine="1276"/>
        <w:jc w:val="both"/>
        <w:rPr>
          <w:rFonts w:ascii="Times New Roman" w:hAnsi="Times New Roman" w:cs="Times New Roman"/>
          <w:sz w:val="24"/>
          <w:szCs w:val="24"/>
        </w:rPr>
      </w:pPr>
      <w:r w:rsidRPr="007112E1">
        <w:rPr>
          <w:rFonts w:ascii="Times New Roman" w:hAnsi="Times New Roman" w:cs="Times New Roman"/>
          <w:sz w:val="24"/>
          <w:szCs w:val="24"/>
        </w:rPr>
        <w:t>Pendapat para ahli hukum</w:t>
      </w:r>
    </w:p>
    <w:p w:rsidR="00D23BEF" w:rsidRPr="007112E1" w:rsidRDefault="00D23BEF" w:rsidP="00D23BEF">
      <w:pPr>
        <w:pStyle w:val="ListParagraph"/>
        <w:numPr>
          <w:ilvl w:val="2"/>
          <w:numId w:val="1"/>
        </w:numPr>
        <w:spacing w:line="480" w:lineRule="auto"/>
        <w:ind w:left="0" w:firstLine="1276"/>
        <w:jc w:val="both"/>
        <w:rPr>
          <w:rFonts w:ascii="Times New Roman" w:hAnsi="Times New Roman" w:cs="Times New Roman"/>
          <w:sz w:val="24"/>
          <w:szCs w:val="24"/>
        </w:rPr>
      </w:pPr>
      <w:r w:rsidRPr="007112E1">
        <w:rPr>
          <w:rFonts w:ascii="Times New Roman" w:hAnsi="Times New Roman" w:cs="Times New Roman"/>
          <w:sz w:val="24"/>
          <w:szCs w:val="24"/>
        </w:rPr>
        <w:t>Penelitian terdahulu</w:t>
      </w:r>
    </w:p>
    <w:p w:rsidR="00D23BEF" w:rsidRPr="00635A23" w:rsidRDefault="00D23BEF" w:rsidP="00D23BEF">
      <w:pPr>
        <w:pStyle w:val="ListParagraph"/>
        <w:numPr>
          <w:ilvl w:val="2"/>
          <w:numId w:val="1"/>
        </w:numPr>
        <w:spacing w:line="480" w:lineRule="auto"/>
        <w:ind w:left="2127" w:hanging="851"/>
        <w:jc w:val="both"/>
        <w:rPr>
          <w:rFonts w:ascii="Times New Roman" w:hAnsi="Times New Roman" w:cs="Times New Roman"/>
          <w:sz w:val="24"/>
          <w:szCs w:val="24"/>
        </w:rPr>
      </w:pPr>
      <w:r w:rsidRPr="007112E1">
        <w:rPr>
          <w:rFonts w:ascii="Times New Roman" w:hAnsi="Times New Roman" w:cs="Times New Roman"/>
          <w:sz w:val="24"/>
          <w:szCs w:val="24"/>
        </w:rPr>
        <w:t>Artikel dan sebagainya yang terkait dengan pembiayaan mudharabah, perjanjian pembiayaan mudharabah, bank syariah</w:t>
      </w:r>
    </w:p>
    <w:p w:rsidR="00D23BEF" w:rsidRPr="007112E1" w:rsidRDefault="00D23BEF" w:rsidP="00D23BEF">
      <w:pPr>
        <w:pStyle w:val="ListParagraph"/>
        <w:numPr>
          <w:ilvl w:val="0"/>
          <w:numId w:val="2"/>
        </w:numPr>
        <w:spacing w:line="480" w:lineRule="auto"/>
        <w:ind w:left="0" w:firstLine="993"/>
        <w:jc w:val="both"/>
        <w:rPr>
          <w:rFonts w:ascii="Times New Roman" w:hAnsi="Times New Roman" w:cs="Times New Roman"/>
          <w:sz w:val="24"/>
          <w:szCs w:val="24"/>
        </w:rPr>
      </w:pPr>
      <w:r w:rsidRPr="007112E1">
        <w:rPr>
          <w:rFonts w:ascii="Times New Roman" w:hAnsi="Times New Roman" w:cs="Times New Roman"/>
          <w:sz w:val="24"/>
          <w:szCs w:val="24"/>
        </w:rPr>
        <w:t xml:space="preserve">Bahan hukum tersier </w:t>
      </w:r>
    </w:p>
    <w:p w:rsidR="00D23BEF" w:rsidRPr="00635A23" w:rsidRDefault="00D23BEF" w:rsidP="00D23BEF">
      <w:pPr>
        <w:spacing w:line="480" w:lineRule="auto"/>
        <w:ind w:left="1276"/>
        <w:jc w:val="both"/>
        <w:rPr>
          <w:rFonts w:ascii="Times New Roman" w:hAnsi="Times New Roman" w:cs="Times New Roman"/>
          <w:sz w:val="24"/>
          <w:szCs w:val="24"/>
        </w:rPr>
      </w:pPr>
      <w:r w:rsidRPr="00635A23">
        <w:rPr>
          <w:rFonts w:ascii="Times New Roman" w:hAnsi="Times New Roman" w:cs="Times New Roman"/>
          <w:sz w:val="24"/>
          <w:szCs w:val="24"/>
        </w:rPr>
        <w:t>Bahan hukum yang mendukung bahan hukum primer dan sekunder dengan memberikan kemudahan pemahaman dan pengertian atas bahan hukum lainnya, yang digunakan sebagai pelengkap informasi diantaranya, Kamus Besar Bahasa Indonesia, ensiklopedia .</w:t>
      </w:r>
    </w:p>
    <w:p w:rsidR="00D23BEF" w:rsidRPr="007112E1" w:rsidRDefault="00D23BEF" w:rsidP="00D23BEF">
      <w:pPr>
        <w:pStyle w:val="ListParagraph"/>
        <w:numPr>
          <w:ilvl w:val="0"/>
          <w:numId w:val="3"/>
        </w:numPr>
        <w:spacing w:line="480" w:lineRule="auto"/>
        <w:ind w:left="0" w:firstLine="0"/>
        <w:jc w:val="both"/>
        <w:rPr>
          <w:rFonts w:ascii="Times New Roman" w:hAnsi="Times New Roman" w:cs="Times New Roman"/>
          <w:b/>
          <w:sz w:val="24"/>
          <w:szCs w:val="24"/>
        </w:rPr>
      </w:pPr>
      <w:r w:rsidRPr="007112E1">
        <w:rPr>
          <w:rFonts w:ascii="Times New Roman" w:hAnsi="Times New Roman" w:cs="Times New Roman"/>
          <w:b/>
          <w:sz w:val="24"/>
          <w:szCs w:val="24"/>
        </w:rPr>
        <w:t>Teknik Memperoleh Bahan Hukum:</w:t>
      </w:r>
    </w:p>
    <w:p w:rsidR="00D23BEF" w:rsidRPr="007463A0" w:rsidRDefault="00D23BEF" w:rsidP="00D23BEF">
      <w:pPr>
        <w:spacing w:after="0" w:line="480" w:lineRule="auto"/>
        <w:ind w:left="426" w:firstLine="294"/>
        <w:jc w:val="both"/>
        <w:rPr>
          <w:rFonts w:ascii="Times New Roman" w:hAnsi="Times New Roman" w:cs="Times New Roman"/>
          <w:sz w:val="24"/>
          <w:szCs w:val="24"/>
        </w:rPr>
      </w:pPr>
      <w:r w:rsidRPr="007463A0">
        <w:rPr>
          <w:rFonts w:ascii="Times New Roman" w:hAnsi="Times New Roman" w:cs="Times New Roman"/>
          <w:sz w:val="24"/>
          <w:szCs w:val="24"/>
        </w:rPr>
        <w:t xml:space="preserve">Teknik pengumpulan bahan hukum, baik primer, sekunder dan tersier dilakukan peneliti melalui studi kepustakaan </w:t>
      </w:r>
      <w:r w:rsidRPr="007463A0">
        <w:rPr>
          <w:rFonts w:ascii="Times New Roman" w:hAnsi="Times New Roman" w:cs="Times New Roman"/>
          <w:i/>
          <w:sz w:val="24"/>
          <w:szCs w:val="24"/>
        </w:rPr>
        <w:t xml:space="preserve">(library research) </w:t>
      </w:r>
      <w:r w:rsidRPr="007463A0">
        <w:rPr>
          <w:rFonts w:ascii="Times New Roman" w:hAnsi="Times New Roman" w:cs="Times New Roman"/>
          <w:sz w:val="24"/>
          <w:szCs w:val="24"/>
        </w:rPr>
        <w:t>dan studi dokumen</w:t>
      </w:r>
      <w:r w:rsidRPr="007463A0">
        <w:rPr>
          <w:rFonts w:ascii="Times New Roman" w:hAnsi="Times New Roman" w:cs="Times New Roman"/>
          <w:i/>
          <w:sz w:val="24"/>
          <w:szCs w:val="24"/>
        </w:rPr>
        <w:t xml:space="preserve"> (document research), </w:t>
      </w:r>
      <w:r w:rsidRPr="007463A0">
        <w:rPr>
          <w:rFonts w:ascii="Times New Roman" w:hAnsi="Times New Roman" w:cs="Times New Roman"/>
          <w:sz w:val="24"/>
          <w:szCs w:val="24"/>
        </w:rPr>
        <w:t>yaitu dengan cara mempelajari dan mencatat data dari bahan pustaka yang telah dikumpulkan. Selanjutnya hasilnya dikumpulkan untuk dianalisis dan diambil kesimpulannya sesuai dengan pokok permasalahan yang telah Peneliti kemukakan sebelumnya dalam rumusan masalah.</w:t>
      </w:r>
    </w:p>
    <w:p w:rsidR="00D23BEF" w:rsidRPr="00521175" w:rsidRDefault="00D23BEF" w:rsidP="00D23BEF">
      <w:pPr>
        <w:pStyle w:val="ListParagraph"/>
        <w:spacing w:after="0" w:line="480" w:lineRule="auto"/>
        <w:ind w:left="426"/>
        <w:jc w:val="both"/>
        <w:rPr>
          <w:rFonts w:ascii="Times New Roman" w:hAnsi="Times New Roman" w:cs="Times New Roman"/>
          <w:sz w:val="24"/>
          <w:szCs w:val="24"/>
        </w:rPr>
      </w:pPr>
    </w:p>
    <w:p w:rsidR="00D23BEF" w:rsidRPr="007112E1" w:rsidRDefault="00D23BEF" w:rsidP="00D23BEF">
      <w:pPr>
        <w:pStyle w:val="ListParagraph"/>
        <w:numPr>
          <w:ilvl w:val="0"/>
          <w:numId w:val="3"/>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Pr="007112E1">
        <w:rPr>
          <w:rFonts w:ascii="Times New Roman" w:hAnsi="Times New Roman" w:cs="Times New Roman"/>
          <w:b/>
          <w:sz w:val="24"/>
          <w:szCs w:val="24"/>
        </w:rPr>
        <w:t xml:space="preserve">Teknik Analisis Bahan Hukum </w:t>
      </w:r>
    </w:p>
    <w:p w:rsidR="00D23BEF" w:rsidRPr="007112E1" w:rsidRDefault="00D23BEF" w:rsidP="00D23BEF">
      <w:pPr>
        <w:pStyle w:val="ListParagraph"/>
        <w:spacing w:line="480" w:lineRule="auto"/>
        <w:ind w:left="426" w:firstLine="708"/>
        <w:jc w:val="both"/>
        <w:rPr>
          <w:rFonts w:ascii="Times New Roman" w:hAnsi="Times New Roman" w:cs="Times New Roman"/>
          <w:sz w:val="24"/>
          <w:szCs w:val="24"/>
        </w:rPr>
      </w:pPr>
      <w:r w:rsidRPr="007112E1">
        <w:rPr>
          <w:rFonts w:ascii="Times New Roman" w:hAnsi="Times New Roman" w:cs="Times New Roman"/>
          <w:sz w:val="24"/>
          <w:szCs w:val="24"/>
        </w:rPr>
        <w:t>Metode analisis data dalam penelitian ini menggunakan teknik</w:t>
      </w:r>
      <w:r>
        <w:rPr>
          <w:rFonts w:ascii="Times New Roman" w:hAnsi="Times New Roman" w:cs="Times New Roman"/>
          <w:sz w:val="24"/>
          <w:szCs w:val="24"/>
        </w:rPr>
        <w:t xml:space="preserve"> analisis melalui interprestasi grammatikal dan sistematis</w:t>
      </w:r>
      <w:r w:rsidRPr="007112E1">
        <w:rPr>
          <w:rFonts w:ascii="Times New Roman" w:hAnsi="Times New Roman" w:cs="Times New Roman"/>
          <w:sz w:val="24"/>
          <w:szCs w:val="24"/>
        </w:rPr>
        <w:t xml:space="preserve"> penafsiran terhadap semua bahan hukum.</w:t>
      </w:r>
    </w:p>
    <w:p w:rsidR="00D23BEF" w:rsidRPr="007112E1" w:rsidRDefault="00D23BEF" w:rsidP="00D23BEF">
      <w:pPr>
        <w:pStyle w:val="ListParagraph"/>
        <w:spacing w:line="480" w:lineRule="auto"/>
        <w:ind w:left="0"/>
        <w:jc w:val="both"/>
        <w:rPr>
          <w:rFonts w:ascii="Times New Roman" w:hAnsi="Times New Roman" w:cs="Times New Roman"/>
          <w:b/>
          <w:sz w:val="24"/>
          <w:szCs w:val="24"/>
        </w:rPr>
      </w:pPr>
    </w:p>
    <w:p w:rsidR="00D23BEF" w:rsidRPr="008D04AA" w:rsidRDefault="00D23BEF" w:rsidP="00D23BEF">
      <w:pPr>
        <w:pStyle w:val="ListParagraph"/>
        <w:numPr>
          <w:ilvl w:val="0"/>
          <w:numId w:val="3"/>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Pr="007112E1">
        <w:rPr>
          <w:rFonts w:ascii="Times New Roman" w:hAnsi="Times New Roman" w:cs="Times New Roman"/>
          <w:b/>
          <w:sz w:val="24"/>
          <w:szCs w:val="24"/>
        </w:rPr>
        <w:t>Definisi Konseptual</w:t>
      </w:r>
    </w:p>
    <w:p w:rsidR="00D23BEF" w:rsidRDefault="00D23BEF" w:rsidP="00D23BEF">
      <w:pPr>
        <w:pStyle w:val="ListParagraph"/>
        <w:spacing w:line="480" w:lineRule="auto"/>
        <w:ind w:left="426"/>
        <w:jc w:val="both"/>
        <w:rPr>
          <w:rFonts w:ascii="Times New Roman" w:hAnsi="Times New Roman" w:cs="Times New Roman"/>
          <w:i/>
          <w:sz w:val="24"/>
          <w:szCs w:val="24"/>
        </w:rPr>
      </w:pPr>
      <w:r>
        <w:rPr>
          <w:rFonts w:ascii="Times New Roman" w:hAnsi="Times New Roman" w:cs="Times New Roman"/>
          <w:sz w:val="24"/>
          <w:szCs w:val="24"/>
        </w:rPr>
        <w:lastRenderedPageBreak/>
        <w:t xml:space="preserve">1. Prinsip keadilan dan keseimbangan </w:t>
      </w:r>
      <w:r w:rsidRPr="004515B8">
        <w:rPr>
          <w:rFonts w:ascii="Times New Roman" w:hAnsi="Times New Roman" w:cs="Times New Roman"/>
          <w:i/>
          <w:sz w:val="24"/>
          <w:szCs w:val="24"/>
        </w:rPr>
        <w:t>(‘Adl wa tawazun)</w:t>
      </w:r>
    </w:p>
    <w:p w:rsidR="00D23BEF" w:rsidRDefault="00D23BEF" w:rsidP="00D23BEF">
      <w:pPr>
        <w:pStyle w:val="ListParagraph"/>
        <w:spacing w:line="480" w:lineRule="auto"/>
        <w:ind w:left="426"/>
        <w:jc w:val="both"/>
        <w:rPr>
          <w:rFonts w:ascii="Times New Roman" w:hAnsi="Times New Roman" w:cs="Times New Roman"/>
          <w:sz w:val="24"/>
          <w:szCs w:val="24"/>
        </w:rPr>
      </w:pPr>
      <w:r w:rsidRPr="004515B8">
        <w:rPr>
          <w:rFonts w:ascii="Times New Roman" w:hAnsi="Times New Roman" w:cs="Times New Roman"/>
          <w:i/>
          <w:sz w:val="24"/>
          <w:szCs w:val="24"/>
        </w:rPr>
        <w:t>‘Adl</w:t>
      </w:r>
      <w:r>
        <w:rPr>
          <w:rFonts w:ascii="Times New Roman" w:hAnsi="Times New Roman" w:cs="Times New Roman"/>
          <w:sz w:val="24"/>
          <w:szCs w:val="24"/>
        </w:rPr>
        <w:t xml:space="preserve"> yaitu menempatkan sesuatu hanya pada tempatnya, dan memberikan sesuatu hanya pada yang berhak serta memperlakukan sesuatu sesuai posisinya. </w:t>
      </w:r>
      <w:r w:rsidRPr="004515B8">
        <w:rPr>
          <w:rFonts w:ascii="Times New Roman" w:hAnsi="Times New Roman" w:cs="Times New Roman"/>
          <w:i/>
          <w:sz w:val="24"/>
          <w:szCs w:val="24"/>
        </w:rPr>
        <w:t>“Tawazun”</w:t>
      </w:r>
      <w:r>
        <w:rPr>
          <w:rFonts w:ascii="Times New Roman" w:hAnsi="Times New Roman" w:cs="Times New Roman"/>
          <w:sz w:val="24"/>
          <w:szCs w:val="24"/>
        </w:rPr>
        <w:t xml:space="preserve"> adalah keseimbangan yang meliiputi aspek material dan spiritual, aspek privat dan publik, sektor keuangan dan sektor riil, bisnis dan sosial, dan keseimbangan aspek pemanfaatan dan kelestarian.</w:t>
      </w:r>
    </w:p>
    <w:p w:rsidR="00D23BEF" w:rsidRDefault="00D23BEF" w:rsidP="00D23BEF">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2. Perjanjian</w:t>
      </w:r>
    </w:p>
    <w:p w:rsidR="00D23BEF" w:rsidRDefault="00D23BEF" w:rsidP="00D23BEF">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Suatu perjanjian dimana satu orang atau lebih mengikatkan diri terhadap satu orang lain atau lebih.</w:t>
      </w:r>
    </w:p>
    <w:p w:rsidR="00D23BEF" w:rsidRDefault="00D23BEF" w:rsidP="00D23BEF">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3. Pembiayaan Mudharabah</w:t>
      </w:r>
    </w:p>
    <w:p w:rsidR="00D23BEF" w:rsidRDefault="00D23BEF" w:rsidP="00D23BEF">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Suatu perjanjian pembiayaan antara bank dengan nasabah, dimana bank menyediakan 100% pembiayaan bagi usaha kegiatan tertentu dari nasabah. Sedangkan nasabah mengelola usaha tersebut tanpa campur tangan dari bank. Bank punya hak untuk mengajukan usul dan melakukan pengawasan atas penyediaan dana untuk pembiayaan tersebut bank mendapat imbalan dan keuntungan yang besarnya ditetapkan atas dasar persetujuan kedua belah pihak. Apabila terjadi kerugian atas usaha tersebut, maka kerugian sepenuhnya ditanggung oleh bank, kecuali kerugian akibat dari kelalaian nasabah.</w:t>
      </w:r>
    </w:p>
    <w:p w:rsidR="00D23BEF" w:rsidRDefault="00D23BEF" w:rsidP="00D23BEF">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4. Bank Syariah</w:t>
      </w:r>
    </w:p>
    <w:p w:rsidR="00D23BEF" w:rsidRDefault="00D23BEF" w:rsidP="00D23BEF">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Suatu lembaga keuangan yang berfungsi sebagai perantara bagi pihak yang berkelebihan dana dengan pihak yang kekurangan dana untuk kegiatan usaha dan kegiatan lainnya sesuai dengan hukum islam.</w:t>
      </w:r>
    </w:p>
    <w:p w:rsidR="00FF4D26" w:rsidRDefault="00D23BEF">
      <w:bookmarkStart w:id="0" w:name="_GoBack"/>
      <w:bookmarkEnd w:id="0"/>
    </w:p>
    <w:sectPr w:rsidR="00FF4D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F66F3"/>
    <w:multiLevelType w:val="hybridMultilevel"/>
    <w:tmpl w:val="D5D271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91679E0"/>
    <w:multiLevelType w:val="hybridMultilevel"/>
    <w:tmpl w:val="AB1A7C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AEC4121"/>
    <w:multiLevelType w:val="multilevel"/>
    <w:tmpl w:val="18168330"/>
    <w:lvl w:ilvl="0">
      <w:start w:val="3"/>
      <w:numFmt w:val="decimal"/>
      <w:lvlText w:val="%1"/>
      <w:lvlJc w:val="left"/>
      <w:pPr>
        <w:ind w:left="480" w:hanging="480"/>
      </w:pPr>
    </w:lvl>
    <w:lvl w:ilvl="1">
      <w:start w:val="1"/>
      <w:numFmt w:val="lowerLetter"/>
      <w:lvlText w:val="%2."/>
      <w:lvlJc w:val="left"/>
      <w:pPr>
        <w:ind w:left="1401" w:hanging="480"/>
      </w:pPr>
      <w:rPr>
        <w:rFonts w:ascii="Times New Roman" w:eastAsiaTheme="minorHAnsi" w:hAnsi="Times New Roman" w:cs="Times New Roman"/>
      </w:rPr>
    </w:lvl>
    <w:lvl w:ilvl="2">
      <w:start w:val="1"/>
      <w:numFmt w:val="decimal"/>
      <w:lvlText w:val="%3."/>
      <w:lvlJc w:val="left"/>
      <w:pPr>
        <w:ind w:left="2562" w:hanging="720"/>
      </w:pPr>
      <w:rPr>
        <w:rFonts w:ascii="Times New Roman" w:eastAsiaTheme="minorHAnsi" w:hAnsi="Times New Roman" w:cs="Times New Roman"/>
      </w:rPr>
    </w:lvl>
    <w:lvl w:ilvl="3">
      <w:start w:val="1"/>
      <w:numFmt w:val="lowerLetter"/>
      <w:lvlText w:val="%4."/>
      <w:lvlJc w:val="left"/>
      <w:pPr>
        <w:ind w:left="3483" w:hanging="720"/>
      </w:pPr>
      <w:rPr>
        <w:rFonts w:ascii="Times New Roman" w:eastAsiaTheme="minorHAnsi" w:hAnsi="Times New Roman" w:cs="Times New Roman"/>
      </w:rPr>
    </w:lvl>
    <w:lvl w:ilvl="4">
      <w:start w:val="1"/>
      <w:numFmt w:val="decimal"/>
      <w:lvlText w:val="%1.%2.%3.%4.%5"/>
      <w:lvlJc w:val="left"/>
      <w:pPr>
        <w:ind w:left="4764" w:hanging="1080"/>
      </w:pPr>
    </w:lvl>
    <w:lvl w:ilvl="5">
      <w:start w:val="1"/>
      <w:numFmt w:val="decimal"/>
      <w:lvlText w:val="%1.%2.%3.%4.%5.%6"/>
      <w:lvlJc w:val="left"/>
      <w:pPr>
        <w:ind w:left="5685" w:hanging="1080"/>
      </w:pPr>
    </w:lvl>
    <w:lvl w:ilvl="6">
      <w:start w:val="1"/>
      <w:numFmt w:val="decimal"/>
      <w:lvlText w:val="%1.%2.%3.%4.%5.%6.%7"/>
      <w:lvlJc w:val="left"/>
      <w:pPr>
        <w:ind w:left="6966" w:hanging="1440"/>
      </w:pPr>
    </w:lvl>
    <w:lvl w:ilvl="7">
      <w:start w:val="1"/>
      <w:numFmt w:val="decimal"/>
      <w:lvlText w:val="%1.%2.%3.%4.%5.%6.%7.%8"/>
      <w:lvlJc w:val="left"/>
      <w:pPr>
        <w:ind w:left="7887" w:hanging="1440"/>
      </w:pPr>
    </w:lvl>
    <w:lvl w:ilvl="8">
      <w:start w:val="1"/>
      <w:numFmt w:val="decimal"/>
      <w:lvlText w:val="%1.%2.%3.%4.%5.%6.%7.%8.%9"/>
      <w:lvlJc w:val="left"/>
      <w:pPr>
        <w:ind w:left="9168" w:hanging="180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BEF"/>
    <w:rsid w:val="005704C8"/>
    <w:rsid w:val="00B53FB3"/>
    <w:rsid w:val="00D23B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B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 Ayu Wulandari</dc:creator>
  <cp:lastModifiedBy>Dian Ayu Wulandari</cp:lastModifiedBy>
  <cp:revision>1</cp:revision>
  <dcterms:created xsi:type="dcterms:W3CDTF">2017-04-25T07:33:00Z</dcterms:created>
  <dcterms:modified xsi:type="dcterms:W3CDTF">2017-04-25T07:38:00Z</dcterms:modified>
</cp:coreProperties>
</file>